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7e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7e0000"/>
          <w:sz w:val="24"/>
          <w:szCs w:val="24"/>
          <w:u w:val="none"/>
          <w:shd w:fill="auto" w:val="clear"/>
          <w:vertAlign w:val="baseline"/>
          <w:rtl w:val="0"/>
        </w:rPr>
        <w:t xml:space="preserve">Conditions et formulaire d’admission</w:t>
      </w:r>
    </w:p>
    <w:p w:rsidR="00000000" w:rsidDel="00000000" w:rsidP="00000000" w:rsidRDefault="00000000" w:rsidRPr="00000000" w14:paraId="00000003">
      <w:pPr>
        <w:keepNext w:val="1"/>
        <w:pBdr>
          <w:top w:color="000000" w:space="1" w:sz="4" w:val="single"/>
          <w:left w:color="000000" w:space="4" w:sz="4" w:val="single"/>
          <w:bottom w:color="000000" w:space="1" w:sz="4" w:val="single"/>
          <w:right w:color="000000" w:space="4" w:sz="4" w:val="single"/>
        </w:pBdr>
        <w:spacing w:after="0" w:lineRule="auto"/>
        <w:jc w:val="center"/>
        <w:rPr>
          <w:rFonts w:ascii="Century Gothic" w:cs="Century Gothic" w:eastAsia="Century Gothic" w:hAnsi="Century Gothic"/>
          <w:b w:val="1"/>
          <w:color w:val="7e0000"/>
        </w:rPr>
      </w:pPr>
      <w:r w:rsidDel="00000000" w:rsidR="00000000" w:rsidRPr="00000000">
        <w:rPr>
          <w:rFonts w:ascii="Century Gothic" w:cs="Century Gothic" w:eastAsia="Century Gothic" w:hAnsi="Century Gothic"/>
          <w:b w:val="1"/>
          <w:color w:val="7e0000"/>
          <w:rtl w:val="0"/>
        </w:rPr>
        <w:t xml:space="preserve">Membres Adhérents 2025 – BCTE Start</w:t>
      </w:r>
    </w:p>
    <w:p w:rsidR="00000000" w:rsidDel="00000000" w:rsidP="00000000" w:rsidRDefault="00000000" w:rsidRPr="00000000" w14:paraId="00000004">
      <w:pPr>
        <w:keepNext w:val="1"/>
        <w:spacing w:after="0" w:before="480" w:lineRule="auto"/>
        <w:jc w:val="both"/>
        <w:rPr>
          <w:rFonts w:ascii="Century Gothic" w:cs="Century Gothic" w:eastAsia="Century Gothic" w:hAnsi="Century Gothic"/>
          <w:sz w:val="16"/>
          <w:szCs w:val="16"/>
          <w:u w:val="single"/>
        </w:rPr>
      </w:pPr>
      <w:r w:rsidDel="00000000" w:rsidR="00000000" w:rsidRPr="00000000">
        <w:rPr>
          <w:rFonts w:ascii="Century Gothic" w:cs="Century Gothic" w:eastAsia="Century Gothic" w:hAnsi="Century Gothic"/>
          <w:sz w:val="16"/>
          <w:szCs w:val="16"/>
          <w:u w:val="single"/>
          <w:rtl w:val="0"/>
        </w:rPr>
        <w:t xml:space="preserve">Article 1 : Mission de BCTE</w:t>
      </w:r>
    </w:p>
    <w:p w:rsidR="00000000" w:rsidDel="00000000" w:rsidP="00000000" w:rsidRDefault="00000000" w:rsidRPr="00000000" w14:paraId="00000005">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L’Asbl « Board Coaching To Excellence » a été créée dans le but principal d’accompagner les Conseils d’Administration (CA) et les organes décisionnels des PME qui aspirent à être durablement plus performants, grâce une meilleure gouvernance, une meilleure dynamique collective et une plus grande efficacité individuelle de leurs membres, pour augmenter le succès de l’entreprise, dans un environnement plus exigeant.</w:t>
      </w:r>
    </w:p>
    <w:p w:rsidR="00000000" w:rsidDel="00000000" w:rsidP="00000000" w:rsidRDefault="00000000" w:rsidRPr="00000000" w14:paraId="00000006">
      <w:pPr>
        <w:keepNext w:val="1"/>
        <w:spacing w:after="0" w:before="240" w:lineRule="auto"/>
        <w:jc w:val="both"/>
        <w:rPr>
          <w:rFonts w:ascii="Century Gothic" w:cs="Century Gothic" w:eastAsia="Century Gothic" w:hAnsi="Century Gothic"/>
          <w:sz w:val="16"/>
          <w:szCs w:val="16"/>
          <w:u w:val="single"/>
        </w:rPr>
      </w:pPr>
      <w:r w:rsidDel="00000000" w:rsidR="00000000" w:rsidRPr="00000000">
        <w:rPr>
          <w:rFonts w:ascii="Century Gothic" w:cs="Century Gothic" w:eastAsia="Century Gothic" w:hAnsi="Century Gothic"/>
          <w:sz w:val="16"/>
          <w:szCs w:val="16"/>
          <w:u w:val="single"/>
          <w:rtl w:val="0"/>
        </w:rPr>
        <w:t xml:space="preserve">Article 2 : Activités</w:t>
      </w:r>
    </w:p>
    <w:p w:rsidR="00000000" w:rsidDel="00000000" w:rsidP="00000000" w:rsidRDefault="00000000" w:rsidRPr="00000000" w14:paraId="00000007">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Pour se faire, l’Asbl  propose un programme professionnel avec accompagnement personnalisé pour réussir la démarche d’autoévaluation de son fonctionnement et du plan d’action en résultant, effectuée en vue d’optimiser les performances des CA. </w:t>
      </w:r>
    </w:p>
    <w:p w:rsidR="00000000" w:rsidDel="00000000" w:rsidP="00000000" w:rsidRDefault="00000000" w:rsidRPr="00000000" w14:paraId="00000008">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En outre, l’Asbl BCTE peut assurer d’autres missions résultant de discussions avec le Président, le CA ou les actionnaires, notamment la recherche et l’intégration de nouveaux administrateurs, de conseil externe et/ou la  mise en place d’Advisory Board etc. </w:t>
      </w:r>
    </w:p>
    <w:p w:rsidR="00000000" w:rsidDel="00000000" w:rsidP="00000000" w:rsidRDefault="00000000" w:rsidRPr="00000000" w14:paraId="00000009">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L’Asbl BCTE désire également établir des relations privilégiées avec d’autres associations ayant pour objectif la recherche de l’excellence pour les CA.</w:t>
      </w:r>
    </w:p>
    <w:p w:rsidR="00000000" w:rsidDel="00000000" w:rsidP="00000000" w:rsidRDefault="00000000" w:rsidRPr="00000000" w14:paraId="0000000A">
      <w:pPr>
        <w:spacing w:after="225" w:before="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0B">
      <w:pPr>
        <w:spacing w:after="0" w:before="225" w:lineRule="auto"/>
        <w:jc w:val="both"/>
        <w:rPr>
          <w:rFonts w:ascii="Century Gothic" w:cs="Century Gothic" w:eastAsia="Century Gothic" w:hAnsi="Century Gothic"/>
          <w:sz w:val="16"/>
          <w:szCs w:val="16"/>
          <w:u w:val="single"/>
        </w:rPr>
      </w:pPr>
      <w:r w:rsidDel="00000000" w:rsidR="00000000" w:rsidRPr="00000000">
        <w:rPr>
          <w:rFonts w:ascii="Century Gothic" w:cs="Century Gothic" w:eastAsia="Century Gothic" w:hAnsi="Century Gothic"/>
          <w:sz w:val="16"/>
          <w:szCs w:val="16"/>
          <w:u w:val="single"/>
          <w:rtl w:val="0"/>
        </w:rPr>
        <w:t xml:space="preserve">Article  3: Procédure d’admission des candidats membres adhérents</w:t>
      </w:r>
    </w:p>
    <w:p w:rsidR="00000000" w:rsidDel="00000000" w:rsidP="00000000" w:rsidRDefault="00000000" w:rsidRPr="00000000" w14:paraId="0000000C">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La compétence d’admettre de nouveaux membres adhérents appartient exclusivement au conseil d’administration. Celui-ci peut déléguer l’examen des candidatures à un comité d’admission dont il fixe la composition et les règles de fonctionnement.</w:t>
      </w:r>
    </w:p>
    <w:p w:rsidR="00000000" w:rsidDel="00000000" w:rsidP="00000000" w:rsidRDefault="00000000" w:rsidRPr="00000000" w14:paraId="0000000D">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Toute personne qui souhaite adhérer à l’Asbl doit adresser une demande écrite ou électronique auprès du conseil d’administration avec mention du nom, prénom, adresse ainsi qu’une lettre exposant les raisons pour lesquelles le demandeur pense pouvoir être pris en considération.</w:t>
      </w:r>
    </w:p>
    <w:p w:rsidR="00000000" w:rsidDel="00000000" w:rsidP="00000000" w:rsidRDefault="00000000" w:rsidRPr="00000000" w14:paraId="0000000E">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Cette demande sera accompagnée d’un CV avec le détail des mandats d’administrateurs actuels ou passés. </w:t>
      </w:r>
    </w:p>
    <w:p w:rsidR="00000000" w:rsidDel="00000000" w:rsidP="00000000" w:rsidRDefault="00000000" w:rsidRPr="00000000" w14:paraId="0000000F">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Le conseil d’administration (ou le comité d’admission) prendra position lors de sa prochaine réunion, sa décision ne devant pas être motivée est sans recours possible. </w:t>
      </w:r>
    </w:p>
    <w:p w:rsidR="00000000" w:rsidDel="00000000" w:rsidP="00000000" w:rsidRDefault="00000000" w:rsidRPr="00000000" w14:paraId="00000010">
      <w:pPr>
        <w:keepNext w:val="1"/>
        <w:spacing w:after="0" w:before="240" w:lineRule="auto"/>
        <w:jc w:val="both"/>
        <w:rPr>
          <w:rFonts w:ascii="Century Gothic" w:cs="Century Gothic" w:eastAsia="Century Gothic" w:hAnsi="Century Gothic"/>
          <w:sz w:val="16"/>
          <w:szCs w:val="16"/>
          <w:u w:val="single"/>
        </w:rPr>
      </w:pPr>
      <w:r w:rsidDel="00000000" w:rsidR="00000000" w:rsidRPr="00000000">
        <w:rPr>
          <w:rFonts w:ascii="Century Gothic" w:cs="Century Gothic" w:eastAsia="Century Gothic" w:hAnsi="Century Gothic"/>
          <w:sz w:val="16"/>
          <w:szCs w:val="16"/>
          <w:u w:val="single"/>
          <w:rtl w:val="0"/>
        </w:rPr>
        <w:t xml:space="preserve">Article 4: Démission – exclusion</w:t>
      </w:r>
    </w:p>
    <w:p w:rsidR="00000000" w:rsidDel="00000000" w:rsidP="00000000" w:rsidRDefault="00000000" w:rsidRPr="00000000" w14:paraId="00000011">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Les membres sont libres de se retirer de l’association à tout moment en adressant leur démission par lettre au président du CA. Ils ne pourront demander le remboursement des sommes perçues par l’Asbl au titre de droits d’entrée ou de cotisations.</w:t>
      </w:r>
    </w:p>
    <w:p w:rsidR="00000000" w:rsidDel="00000000" w:rsidP="00000000" w:rsidRDefault="00000000" w:rsidRPr="00000000" w14:paraId="00000012">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Le membre qui ne paie pas la cotisation qui lui incombe endéans le mois après l’envoi d’un rappel par courrier recommandé, est réputé démissionnaire.</w:t>
      </w:r>
    </w:p>
    <w:p w:rsidR="00000000" w:rsidDel="00000000" w:rsidP="00000000" w:rsidRDefault="00000000" w:rsidRPr="00000000" w14:paraId="00000013">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L’exclusion d’un membre adhérent reste de la compétence du conseil d’administration statuant à l’unanimité.</w:t>
      </w:r>
    </w:p>
    <w:p w:rsidR="00000000" w:rsidDel="00000000" w:rsidP="00000000" w:rsidRDefault="00000000" w:rsidRPr="00000000" w14:paraId="00000014">
      <w:pPr>
        <w:spacing w:after="0" w:before="240" w:lineRule="auto"/>
        <w:jc w:val="center"/>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15">
      <w:pPr>
        <w:spacing w:after="0" w:before="240" w:lineRule="auto"/>
        <w:jc w:val="center"/>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16">
      <w:pPr>
        <w:spacing w:after="0" w:before="240" w:lineRule="auto"/>
        <w:jc w:val="center"/>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17">
      <w:pPr>
        <w:spacing w:after="0" w:lineRule="auto"/>
        <w:jc w:val="center"/>
        <w:rPr>
          <w:rFonts w:ascii="Century Gothic" w:cs="Century Gothic" w:eastAsia="Century Gothic" w:hAnsi="Century Gothic"/>
          <w:b w:val="1"/>
          <w:color w:val="770000"/>
          <w:sz w:val="16"/>
          <w:szCs w:val="16"/>
        </w:rPr>
      </w:pPr>
      <w:r w:rsidDel="00000000" w:rsidR="00000000" w:rsidRPr="00000000">
        <w:rPr>
          <w:rtl w:val="0"/>
        </w:rPr>
      </w:r>
    </w:p>
    <w:tbl>
      <w:tblPr>
        <w:tblStyle w:val="Table1"/>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3285"/>
        <w:gridCol w:w="1393"/>
        <w:gridCol w:w="4239"/>
        <w:tblGridChange w:id="0">
          <w:tblGrid>
            <w:gridCol w:w="1271"/>
            <w:gridCol w:w="3285"/>
            <w:gridCol w:w="1393"/>
            <w:gridCol w:w="4239"/>
          </w:tblGrid>
        </w:tblGridChange>
      </w:tblGrid>
      <w:tr>
        <w:trPr>
          <w:cantSplit w:val="0"/>
          <w:trHeight w:val="263" w:hRule="atLeast"/>
          <w:tblHeader w:val="0"/>
        </w:trPr>
        <w:tc>
          <w:tcPr>
            <w:gridSpan w:val="2"/>
          </w:tcPr>
          <w:p w:rsidR="00000000" w:rsidDel="00000000" w:rsidP="00000000" w:rsidRDefault="00000000" w:rsidRPr="00000000" w14:paraId="00000018">
            <w:pPr>
              <w:spacing w:after="0" w:before="240" w:lineRule="auto"/>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Coordonnées personnelles</w:t>
            </w:r>
          </w:p>
        </w:tc>
        <w:tc>
          <w:tcPr>
            <w:gridSpan w:val="2"/>
          </w:tcPr>
          <w:p w:rsidR="00000000" w:rsidDel="00000000" w:rsidP="00000000" w:rsidRDefault="00000000" w:rsidRPr="00000000" w14:paraId="0000001A">
            <w:pPr>
              <w:spacing w:after="0" w:before="240" w:lineRule="auto"/>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Coordonnées de facturation</w:t>
            </w:r>
          </w:p>
        </w:tc>
      </w:tr>
      <w:tr>
        <w:trPr>
          <w:cantSplit w:val="0"/>
          <w:trHeight w:val="263" w:hRule="atLeast"/>
          <w:tblHeader w:val="0"/>
        </w:trPr>
        <w:tc>
          <w:tcPr/>
          <w:p w:rsidR="00000000" w:rsidDel="00000000" w:rsidP="00000000" w:rsidRDefault="00000000" w:rsidRPr="00000000" w14:paraId="0000001C">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Nom :</w:t>
            </w:r>
          </w:p>
        </w:tc>
        <w:tc>
          <w:tcPr/>
          <w:p w:rsidR="00000000" w:rsidDel="00000000" w:rsidP="00000000" w:rsidRDefault="00000000" w:rsidRPr="00000000" w14:paraId="0000001D">
            <w:pPr>
              <w:spacing w:after="0" w:befor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1E">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Société :</w:t>
            </w:r>
          </w:p>
        </w:tc>
        <w:tc>
          <w:tcPr/>
          <w:p w:rsidR="00000000" w:rsidDel="00000000" w:rsidP="00000000" w:rsidRDefault="00000000" w:rsidRPr="00000000" w14:paraId="0000001F">
            <w:pPr>
              <w:spacing w:after="0" w:befor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0">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Prénom :</w:t>
            </w:r>
          </w:p>
        </w:tc>
        <w:tc>
          <w:tcPr/>
          <w:p w:rsidR="00000000" w:rsidDel="00000000" w:rsidP="00000000" w:rsidRDefault="00000000" w:rsidRPr="00000000" w14:paraId="00000021">
            <w:pPr>
              <w:spacing w:after="0" w:befor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22">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Adresse, n°</w:t>
            </w:r>
          </w:p>
        </w:tc>
        <w:tc>
          <w:tcPr/>
          <w:p w:rsidR="00000000" w:rsidDel="00000000" w:rsidP="00000000" w:rsidRDefault="00000000" w:rsidRPr="00000000" w14:paraId="00000023">
            <w:pPr>
              <w:spacing w:after="0" w:befor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4">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Adresse mail :</w:t>
            </w:r>
          </w:p>
        </w:tc>
        <w:tc>
          <w:tcPr/>
          <w:p w:rsidR="00000000" w:rsidDel="00000000" w:rsidP="00000000" w:rsidRDefault="00000000" w:rsidRPr="00000000" w14:paraId="00000025">
            <w:pPr>
              <w:spacing w:after="0" w:befor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26">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Code postal </w:t>
            </w:r>
          </w:p>
        </w:tc>
        <w:tc>
          <w:tcPr/>
          <w:p w:rsidR="00000000" w:rsidDel="00000000" w:rsidP="00000000" w:rsidRDefault="00000000" w:rsidRPr="00000000" w14:paraId="00000027">
            <w:pPr>
              <w:spacing w:after="0" w:befor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8">
            <w:pPr>
              <w:spacing w:after="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29">
            <w:pPr>
              <w:spacing w:after="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N° de GSM :</w:t>
            </w:r>
          </w:p>
        </w:tc>
        <w:tc>
          <w:tcPr/>
          <w:p w:rsidR="00000000" w:rsidDel="00000000" w:rsidP="00000000" w:rsidRDefault="00000000" w:rsidRPr="00000000" w14:paraId="0000002A">
            <w:pPr>
              <w:spacing w:after="0" w:befor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2B">
            <w:pPr>
              <w:spacing w:after="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2C">
            <w:pPr>
              <w:spacing w:after="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Localité</w:t>
            </w:r>
          </w:p>
        </w:tc>
        <w:tc>
          <w:tcPr/>
          <w:p w:rsidR="00000000" w:rsidDel="00000000" w:rsidP="00000000" w:rsidRDefault="00000000" w:rsidRPr="00000000" w14:paraId="0000002D">
            <w:pPr>
              <w:spacing w:after="0" w:befor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E">
            <w:pPr>
              <w:spacing w:after="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Âge au moment de cette adhésion</w:t>
            </w:r>
          </w:p>
        </w:tc>
        <w:tc>
          <w:tcPr/>
          <w:p w:rsidR="00000000" w:rsidDel="00000000" w:rsidP="00000000" w:rsidRDefault="00000000" w:rsidRPr="00000000" w14:paraId="0000002F">
            <w:pPr>
              <w:spacing w:after="0" w:befor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30">
            <w:pPr>
              <w:spacing w:after="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1">
            <w:pPr>
              <w:spacing w:after="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N° de TVA :</w:t>
            </w:r>
          </w:p>
        </w:tc>
        <w:tc>
          <w:tcPr/>
          <w:p w:rsidR="00000000" w:rsidDel="00000000" w:rsidP="00000000" w:rsidRDefault="00000000" w:rsidRPr="00000000" w14:paraId="00000032">
            <w:pPr>
              <w:spacing w:after="0" w:before="240" w:lineRule="auto"/>
              <w:jc w:val="both"/>
              <w:rPr>
                <w:rFonts w:ascii="Century Gothic" w:cs="Century Gothic" w:eastAsia="Century Gothic" w:hAnsi="Century Gothic"/>
                <w:sz w:val="16"/>
                <w:szCs w:val="16"/>
              </w:rPr>
            </w:pPr>
            <w:r w:rsidDel="00000000" w:rsidR="00000000" w:rsidRPr="00000000">
              <w:rPr>
                <w:rtl w:val="0"/>
              </w:rPr>
            </w:r>
          </w:p>
        </w:tc>
      </w:tr>
    </w:tbl>
    <w:p w:rsidR="00000000" w:rsidDel="00000000" w:rsidP="00000000" w:rsidRDefault="00000000" w:rsidRPr="00000000" w14:paraId="00000033">
      <w:pPr>
        <w:spacing w:before="240" w:line="276"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Mandats d’administrateurs :</w:t>
      </w:r>
    </w:p>
    <w:tbl>
      <w:tblPr>
        <w:tblStyle w:val="Table2"/>
        <w:tblW w:w="9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6557"/>
        <w:tblGridChange w:id="0">
          <w:tblGrid>
            <w:gridCol w:w="2943"/>
            <w:gridCol w:w="6557"/>
          </w:tblGrid>
        </w:tblGridChange>
      </w:tblGrid>
      <w:tr>
        <w:trPr>
          <w:cantSplit w:val="0"/>
          <w:trHeight w:val="1889.0625" w:hRule="atLeast"/>
          <w:tblHeader w:val="0"/>
        </w:trPr>
        <w:tc>
          <w:tcPr/>
          <w:p w:rsidR="00000000" w:rsidDel="00000000" w:rsidP="00000000" w:rsidRDefault="00000000" w:rsidRPr="00000000" w14:paraId="00000034">
            <w:pPr>
              <w:spacing w:after="0" w:befor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Merci de préciser vos différents mandats d’administrateur :</w:t>
            </w:r>
          </w:p>
        </w:tc>
        <w:tc>
          <w:tcPr/>
          <w:p w:rsidR="00000000" w:rsidDel="00000000" w:rsidP="00000000" w:rsidRDefault="00000000" w:rsidRPr="00000000" w14:paraId="00000035">
            <w:pPr>
              <w:spacing w:after="0" w:befor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6">
            <w:pPr>
              <w:spacing w:after="0" w:befor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7">
            <w:pPr>
              <w:spacing w:after="0" w:befor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8">
            <w:pPr>
              <w:spacing w:after="0" w:befor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after="0" w:before="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Merci de préciser qui vous a parrainé – introduit - au BCTE :</w:t>
            </w:r>
          </w:p>
        </w:tc>
        <w:tc>
          <w:tcPr/>
          <w:p w:rsidR="00000000" w:rsidDel="00000000" w:rsidP="00000000" w:rsidRDefault="00000000" w:rsidRPr="00000000" w14:paraId="0000003A">
            <w:pPr>
              <w:spacing w:after="0" w:before="240" w:lineRule="auto"/>
              <w:jc w:val="both"/>
              <w:rPr>
                <w:rFonts w:ascii="Century Gothic" w:cs="Century Gothic" w:eastAsia="Century Gothic" w:hAnsi="Century Gothic"/>
                <w:sz w:val="16"/>
                <w:szCs w:val="16"/>
              </w:rPr>
            </w:pPr>
            <w:r w:rsidDel="00000000" w:rsidR="00000000" w:rsidRPr="00000000">
              <w:rPr>
                <w:rtl w:val="0"/>
              </w:rPr>
            </w:r>
          </w:p>
        </w:tc>
      </w:tr>
    </w:tbl>
    <w:p w:rsidR="00000000" w:rsidDel="00000000" w:rsidP="00000000" w:rsidRDefault="00000000" w:rsidRPr="00000000" w14:paraId="0000003B">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Fait à Bruxelles en 2 exemplaires originaux le ……………………………….;</w:t>
      </w:r>
    </w:p>
    <w:p w:rsidR="00000000" w:rsidDel="00000000" w:rsidP="00000000" w:rsidRDefault="00000000" w:rsidRPr="00000000" w14:paraId="0000003C">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Mention « Bon Pour accord » et paraphe de chaque page.</w:t>
      </w:r>
    </w:p>
    <w:p w:rsidR="00000000" w:rsidDel="00000000" w:rsidP="00000000" w:rsidRDefault="00000000" w:rsidRPr="00000000" w14:paraId="0000003D">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Signature : </w:t>
      </w:r>
    </w:p>
    <w:tbl>
      <w:tblPr>
        <w:tblStyle w:val="Table3"/>
        <w:tblW w:w="694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66"/>
        <w:gridCol w:w="3780"/>
        <w:tblGridChange w:id="0">
          <w:tblGrid>
            <w:gridCol w:w="3166"/>
            <w:gridCol w:w="3780"/>
          </w:tblGrid>
        </w:tblGridChange>
      </w:tblGrid>
      <w:tr>
        <w:trPr>
          <w:cantSplit w:val="0"/>
          <w:tblHeader w:val="0"/>
        </w:trPr>
        <w:tc>
          <w:tcPr/>
          <w:p w:rsidR="00000000" w:rsidDel="00000000" w:rsidP="00000000" w:rsidRDefault="00000000" w:rsidRPr="00000000" w14:paraId="0000003E">
            <w:pPr>
              <w:spacing w:after="0" w:befor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3F">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Droit d’entrée</w:t>
            </w:r>
          </w:p>
        </w:tc>
        <w:tc>
          <w:tcPr/>
          <w:p w:rsidR="00000000" w:rsidDel="00000000" w:rsidP="00000000" w:rsidRDefault="00000000" w:rsidRPr="00000000" w14:paraId="00000040">
            <w:pPr>
              <w:spacing w:after="0" w:before="240" w:lineRule="auto"/>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Néant</w:t>
            </w:r>
          </w:p>
        </w:tc>
      </w:tr>
      <w:tr>
        <w:trPr>
          <w:cantSplit w:val="0"/>
          <w:tblHeader w:val="0"/>
        </w:trPr>
        <w:tc>
          <w:tcPr/>
          <w:p w:rsidR="00000000" w:rsidDel="00000000" w:rsidP="00000000" w:rsidRDefault="00000000" w:rsidRPr="00000000" w14:paraId="00000041">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Cotisation annuelle 2024</w:t>
            </w:r>
          </w:p>
        </w:tc>
        <w:tc>
          <w:tcPr/>
          <w:p w:rsidR="00000000" w:rsidDel="00000000" w:rsidP="00000000" w:rsidRDefault="00000000" w:rsidRPr="00000000" w14:paraId="00000042">
            <w:pPr>
              <w:spacing w:after="0" w:before="240" w:lineRule="auto"/>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250 € hors TVA (soit 302,50 € TVA comprise)</w:t>
            </w:r>
          </w:p>
        </w:tc>
      </w:tr>
      <w:tr>
        <w:trPr>
          <w:cantSplit w:val="0"/>
          <w:tblHeader w:val="0"/>
        </w:trPr>
        <w:tc>
          <w:tcPr/>
          <w:p w:rsidR="00000000" w:rsidDel="00000000" w:rsidP="00000000" w:rsidRDefault="00000000" w:rsidRPr="00000000" w14:paraId="00000043">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Participation à l’AG</w:t>
            </w:r>
          </w:p>
        </w:tc>
        <w:tc>
          <w:tcPr/>
          <w:p w:rsidR="00000000" w:rsidDel="00000000" w:rsidP="00000000" w:rsidRDefault="00000000" w:rsidRPr="00000000" w14:paraId="00000044">
            <w:pPr>
              <w:spacing w:after="0" w:before="240" w:lineRule="auto"/>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Voix consultative</w:t>
            </w:r>
          </w:p>
        </w:tc>
      </w:tr>
      <w:tr>
        <w:trPr>
          <w:cantSplit w:val="0"/>
          <w:tblHeader w:val="0"/>
        </w:trPr>
        <w:tc>
          <w:tcPr/>
          <w:p w:rsidR="00000000" w:rsidDel="00000000" w:rsidP="00000000" w:rsidRDefault="00000000" w:rsidRPr="00000000" w14:paraId="00000045">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Réseau d’administrateurs</w:t>
            </w:r>
          </w:p>
        </w:tc>
        <w:tc>
          <w:tcPr/>
          <w:p w:rsidR="00000000" w:rsidDel="00000000" w:rsidP="00000000" w:rsidRDefault="00000000" w:rsidRPr="00000000" w14:paraId="00000046">
            <w:pPr>
              <w:spacing w:after="0" w:before="240" w:lineRule="auto"/>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Oui (*)</w:t>
            </w:r>
          </w:p>
        </w:tc>
      </w:tr>
      <w:tr>
        <w:trPr>
          <w:cantSplit w:val="0"/>
          <w:tblHeader w:val="0"/>
        </w:trPr>
        <w:tc>
          <w:tcPr/>
          <w:p w:rsidR="00000000" w:rsidDel="00000000" w:rsidP="00000000" w:rsidRDefault="00000000" w:rsidRPr="00000000" w14:paraId="00000047">
            <w:pPr>
              <w:spacing w:after="0" w:befor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48">
            <w:pPr>
              <w:spacing w:after="0" w:before="240" w:lineRule="auto"/>
              <w:rPr>
                <w:rFonts w:ascii="Century Gothic" w:cs="Century Gothic" w:eastAsia="Century Gothic" w:hAnsi="Century Gothic"/>
                <w:i w:val="1"/>
                <w:sz w:val="16"/>
                <w:szCs w:val="16"/>
              </w:rPr>
            </w:pPr>
            <w:r w:rsidDel="00000000" w:rsidR="00000000" w:rsidRPr="00000000">
              <w:rPr>
                <w:rtl w:val="0"/>
              </w:rPr>
            </w:r>
          </w:p>
        </w:tc>
      </w:tr>
    </w:tbl>
    <w:p w:rsidR="00000000" w:rsidDel="00000000" w:rsidP="00000000" w:rsidRDefault="00000000" w:rsidRPr="00000000" w14:paraId="00000049">
      <w:pPr>
        <w:spacing w:after="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A">
      <w:pPr>
        <w:spacing w:after="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Tous les membres de l’Asbl font partie du réseau et seront prioritairement considérés lors des demandes et recherches d’administrateurs indépendants ou de membres de conseil d’avis. Les membres se voyant conférer un ou plusieurs mandats d’administrateur grâce à l’intervention de l’ASBL s’engagent à en rester membres pour la durée du/des mandat(s) obtenu(s).</w:t>
      </w:r>
    </w:p>
    <w:p w:rsidR="00000000" w:rsidDel="00000000" w:rsidP="00000000" w:rsidRDefault="00000000" w:rsidRPr="00000000" w14:paraId="0000004B">
      <w:pPr>
        <w:spacing w:before="240" w:line="276"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Les statuts de l’Asbl ont été publiés le 3 juin 2011 aux annexes du MB et sont consultables sur le site du SPF Justice :</w:t>
      </w:r>
    </w:p>
    <w:p w:rsidR="00000000" w:rsidDel="00000000" w:rsidP="00000000" w:rsidRDefault="00000000" w:rsidRPr="00000000" w14:paraId="0000004C">
      <w:pPr>
        <w:spacing w:before="240" w:line="276" w:lineRule="auto"/>
        <w:rPr>
          <w:rFonts w:ascii="Century Gothic" w:cs="Century Gothic" w:eastAsia="Century Gothic" w:hAnsi="Century Gothic"/>
          <w:sz w:val="16"/>
          <w:szCs w:val="16"/>
        </w:rPr>
      </w:pPr>
      <w:hyperlink r:id="rId7">
        <w:r w:rsidDel="00000000" w:rsidR="00000000" w:rsidRPr="00000000">
          <w:rPr>
            <w:rFonts w:ascii="Century Gothic" w:cs="Century Gothic" w:eastAsia="Century Gothic" w:hAnsi="Century Gothic"/>
            <w:color w:val="0000ff"/>
            <w:sz w:val="16"/>
            <w:szCs w:val="16"/>
            <w:u w:val="single"/>
            <w:rtl w:val="0"/>
          </w:rPr>
          <w:t xml:space="preserve">http://www.ejustice.just.fgov.be/tsv/tsvf.htm</w:t>
        </w:r>
      </w:hyperlink>
      <w:r w:rsidDel="00000000" w:rsidR="00000000" w:rsidRPr="00000000">
        <w:rPr>
          <w:rFonts w:ascii="Century Gothic" w:cs="Century Gothic" w:eastAsia="Century Gothic" w:hAnsi="Century Gothic"/>
          <w:color w:val="984806"/>
          <w:sz w:val="16"/>
          <w:szCs w:val="16"/>
          <w:rtl w:val="0"/>
        </w:rPr>
        <w:t xml:space="preserve">    N° d’entreprise : </w:t>
      </w:r>
      <w:r w:rsidDel="00000000" w:rsidR="00000000" w:rsidRPr="00000000">
        <w:rPr>
          <w:rFonts w:ascii="Century Gothic" w:cs="Century Gothic" w:eastAsia="Century Gothic" w:hAnsi="Century Gothic"/>
          <w:sz w:val="16"/>
          <w:szCs w:val="16"/>
          <w:rtl w:val="0"/>
        </w:rPr>
        <w:t xml:space="preserve">836 467 622</w:t>
        <w:tab/>
      </w:r>
    </w:p>
    <w:sectPr>
      <w:headerReference r:id="rId8" w:type="default"/>
      <w:footerReference r:id="rId9" w:type="default"/>
      <w:pgSz w:h="16840" w:w="11900" w:orient="portrait"/>
      <w:pgMar w:bottom="1418" w:top="1418" w:left="851"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pacing w:after="240" w:before="240" w:lineRule="auto"/>
      <w:jc w:val="center"/>
      <w:rPr>
        <w:rFonts w:ascii="Century Gothic" w:cs="Century Gothic" w:eastAsia="Century Gothic" w:hAnsi="Century Gothic"/>
        <w:color w:val="770000"/>
        <w:sz w:val="15"/>
        <w:szCs w:val="15"/>
      </w:rPr>
    </w:pPr>
    <w:r w:rsidDel="00000000" w:rsidR="00000000" w:rsidRPr="00000000">
      <w:rPr>
        <w:rFonts w:ascii="Century Gothic" w:cs="Century Gothic" w:eastAsia="Century Gothic" w:hAnsi="Century Gothic"/>
        <w:color w:val="770000"/>
        <w:sz w:val="15"/>
        <w:szCs w:val="15"/>
        <w:rtl w:val="0"/>
      </w:rPr>
      <w:t xml:space="preserve"> </w:t>
    </w:r>
  </w:p>
  <w:p w:rsidR="00000000" w:rsidDel="00000000" w:rsidP="00000000" w:rsidRDefault="00000000" w:rsidRPr="00000000" w14:paraId="0000004F">
    <w:pPr>
      <w:spacing w:after="240" w:before="240" w:lineRule="auto"/>
      <w:jc w:val="center"/>
      <w:rPr>
        <w:rFonts w:ascii="Century Gothic" w:cs="Century Gothic" w:eastAsia="Century Gothic" w:hAnsi="Century Gothic"/>
        <w:color w:val="770000"/>
        <w:sz w:val="15"/>
        <w:szCs w:val="15"/>
      </w:rPr>
    </w:pPr>
    <w:r w:rsidDel="00000000" w:rsidR="00000000" w:rsidRPr="00000000">
      <w:rPr>
        <w:rFonts w:ascii="Century Gothic" w:cs="Century Gothic" w:eastAsia="Century Gothic" w:hAnsi="Century Gothic"/>
        <w:color w:val="770000"/>
        <w:sz w:val="15"/>
        <w:szCs w:val="15"/>
        <w:rtl w:val="0"/>
      </w:rPr>
      <w:t xml:space="preserve">| Board Coaching to Excellence asbl /vzw (BCTE) | RPM 0836 467 622 | www.bcte.be | | Natiënsquare 15 square des Nations | B-1000 Bruxelles-Brussel | office@bcte.be | | TVA –BTW BE 0836 467 622 | RPM Bruxelles RPR Brussel | CBC IBAN BE90 7320 2555 7632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entury Gothic" w:cs="Century Gothic" w:eastAsia="Century Gothic" w:hAnsi="Century Gothic"/>
        <w:color w:val="6a7c9a"/>
        <w:sz w:val="15"/>
        <w:szCs w:val="15"/>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5300472" cy="74676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00472" cy="7467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fr-FR"/>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6845D2"/>
    <w:pPr>
      <w:spacing w:after="200"/>
    </w:pPr>
    <w:rPr>
      <w:sz w:val="24"/>
      <w:szCs w:val="24"/>
      <w:lang w:val="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semiHidden w:val="1"/>
    <w:rsid w:val="00DF120D"/>
    <w:pPr>
      <w:tabs>
        <w:tab w:val="center" w:pos="4536"/>
        <w:tab w:val="right" w:pos="9072"/>
      </w:tabs>
      <w:spacing w:after="0"/>
    </w:pPr>
  </w:style>
  <w:style w:type="character" w:styleId="En-tteCar" w:customStyle="1">
    <w:name w:val="En-tête Car"/>
    <w:basedOn w:val="Policepardfaut"/>
    <w:link w:val="En-tte"/>
    <w:uiPriority w:val="99"/>
    <w:semiHidden w:val="1"/>
    <w:locked w:val="1"/>
    <w:rsid w:val="00DF120D"/>
    <w:rPr>
      <w:rFonts w:cs="Times New Roman"/>
      <w:sz w:val="24"/>
      <w:szCs w:val="24"/>
      <w:lang w:val="fr-FR"/>
    </w:rPr>
  </w:style>
  <w:style w:type="paragraph" w:styleId="Pieddepage">
    <w:name w:val="footer"/>
    <w:basedOn w:val="Normal"/>
    <w:link w:val="PieddepageCar"/>
    <w:uiPriority w:val="99"/>
    <w:semiHidden w:val="1"/>
    <w:rsid w:val="00DF120D"/>
    <w:pPr>
      <w:tabs>
        <w:tab w:val="center" w:pos="4536"/>
        <w:tab w:val="right" w:pos="9072"/>
      </w:tabs>
      <w:spacing w:after="0"/>
    </w:pPr>
  </w:style>
  <w:style w:type="character" w:styleId="PieddepageCar" w:customStyle="1">
    <w:name w:val="Pied de page Car"/>
    <w:basedOn w:val="Policepardfaut"/>
    <w:link w:val="Pieddepage"/>
    <w:uiPriority w:val="99"/>
    <w:semiHidden w:val="1"/>
    <w:locked w:val="1"/>
    <w:rsid w:val="00DF120D"/>
    <w:rPr>
      <w:rFonts w:cs="Times New Roman"/>
      <w:sz w:val="24"/>
      <w:szCs w:val="24"/>
      <w:lang w:val="fr-FR"/>
    </w:rPr>
  </w:style>
  <w:style w:type="paragraph" w:styleId="Styledeparagraphe1" w:customStyle="1">
    <w:name w:val="Style de paragraphe 1"/>
    <w:basedOn w:val="Normal"/>
    <w:uiPriority w:val="99"/>
    <w:rsid w:val="00DF120D"/>
    <w:pPr>
      <w:widowControl w:val="0"/>
      <w:suppressAutoHyphens w:val="1"/>
      <w:autoSpaceDE w:val="0"/>
      <w:autoSpaceDN w:val="0"/>
      <w:adjustRightInd w:val="0"/>
      <w:spacing w:after="0" w:before="113" w:line="280" w:lineRule="atLeast"/>
      <w:textAlignment w:val="center"/>
    </w:pPr>
    <w:rPr>
      <w:rFonts w:ascii="MyriadPro-Regular" w:cs="MyriadPro-Regular" w:hAnsi="MyriadPro-Regular"/>
      <w:color w:val="193f3f"/>
      <w:spacing w:val="4"/>
      <w:sz w:val="18"/>
      <w:szCs w:val="18"/>
    </w:rPr>
  </w:style>
  <w:style w:type="character" w:styleId="Lienhypertexte">
    <w:name w:val="Hyperlink"/>
    <w:basedOn w:val="Policepardfaut"/>
    <w:uiPriority w:val="99"/>
    <w:semiHidden w:val="1"/>
    <w:rsid w:val="00DF120D"/>
    <w:rPr>
      <w:rFonts w:cs="Times New Roman"/>
      <w:color w:val="0000ff"/>
      <w:u w:val="single"/>
    </w:rPr>
  </w:style>
  <w:style w:type="paragraph" w:styleId="BCTE" w:customStyle="1">
    <w:name w:val="BCTE"/>
    <w:autoRedefine w:val="1"/>
    <w:uiPriority w:val="99"/>
    <w:rsid w:val="00B42160"/>
    <w:pPr>
      <w:spacing w:after="200"/>
    </w:pPr>
    <w:rPr>
      <w:rFonts w:ascii="Arial" w:hAnsi="Arial"/>
      <w:color w:val="6a7c9a"/>
      <w:sz w:val="19"/>
      <w:szCs w:val="24"/>
      <w:lang w:val="fr-BE"/>
    </w:rPr>
  </w:style>
  <w:style w:type="paragraph" w:styleId="Textedebulles">
    <w:name w:val="Balloon Text"/>
    <w:basedOn w:val="Normal"/>
    <w:link w:val="TextedebullesCar"/>
    <w:uiPriority w:val="99"/>
    <w:semiHidden w:val="1"/>
    <w:rsid w:val="00A30DC9"/>
    <w:pPr>
      <w:spacing w:after="0"/>
    </w:pPr>
    <w:rPr>
      <w:rFonts w:ascii="Tahoma" w:cs="Tahoma" w:hAnsi="Tahoma"/>
      <w:sz w:val="16"/>
      <w:szCs w:val="16"/>
    </w:rPr>
  </w:style>
  <w:style w:type="character" w:styleId="TextedebullesCar" w:customStyle="1">
    <w:name w:val="Texte de bulles Car"/>
    <w:basedOn w:val="Policepardfaut"/>
    <w:link w:val="Textedebulles"/>
    <w:uiPriority w:val="99"/>
    <w:semiHidden w:val="1"/>
    <w:locked w:val="1"/>
    <w:rsid w:val="00A30DC9"/>
    <w:rPr>
      <w:rFonts w:ascii="Tahoma" w:cs="Tahoma" w:hAnsi="Tahoma"/>
      <w:sz w:val="16"/>
      <w:szCs w:val="16"/>
      <w:lang w:val="fr-FR"/>
    </w:rPr>
  </w:style>
  <w:style w:type="paragraph" w:styleId="Paragraphedeliste">
    <w:name w:val="List Paragraph"/>
    <w:basedOn w:val="Normal"/>
    <w:uiPriority w:val="34"/>
    <w:qFormat w:val="1"/>
    <w:rsid w:val="00491CA3"/>
    <w:pPr>
      <w:spacing w:after="0"/>
      <w:ind w:left="720"/>
      <w:contextualSpacing w:val="1"/>
    </w:pPr>
    <w:rPr>
      <w:rFonts w:ascii="Times New Roman" w:eastAsia="Times New Roman" w:hAnsi="Times New Roman"/>
      <w:lang w:eastAsia="fr-BE" w:val="fr-BE"/>
    </w:rPr>
  </w:style>
  <w:style w:type="paragraph" w:styleId="Titre">
    <w:name w:val="Title"/>
    <w:basedOn w:val="Normal"/>
    <w:next w:val="Normal"/>
    <w:link w:val="TitreCar"/>
    <w:qFormat w:val="1"/>
    <w:locked w:val="1"/>
    <w:rsid w:val="00173093"/>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reCar" w:customStyle="1">
    <w:name w:val="Titre Car"/>
    <w:basedOn w:val="Policepardfaut"/>
    <w:link w:val="Titre"/>
    <w:rsid w:val="00173093"/>
    <w:rPr>
      <w:rFonts w:asciiTheme="majorHAnsi" w:cstheme="majorBidi" w:eastAsiaTheme="majorEastAsia" w:hAnsiTheme="majorHAnsi"/>
      <w:color w:val="17365d" w:themeColor="text2" w:themeShade="0000BF"/>
      <w:spacing w:val="5"/>
      <w:kern w:val="28"/>
      <w:sz w:val="52"/>
      <w:szCs w:val="52"/>
      <w:lang w:val="fr-FR"/>
    </w:rPr>
  </w:style>
  <w:style w:type="table" w:styleId="Grilledutableau">
    <w:name w:val="Table Grid"/>
    <w:basedOn w:val="TableauNormal"/>
    <w:uiPriority w:val="59"/>
    <w:locked w:val="1"/>
    <w:rsid w:val="00173093"/>
    <w:rPr>
      <w:rFonts w:asciiTheme="minorHAnsi" w:cstheme="minorBidi" w:eastAsiaTheme="minorHAns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tionnonrsolue">
    <w:name w:val="Unresolved Mention"/>
    <w:basedOn w:val="Policepardfaut"/>
    <w:uiPriority w:val="99"/>
    <w:semiHidden w:val="1"/>
    <w:unhideWhenUsed w:val="1"/>
    <w:rsid w:val="003B2E8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justice.just.fgov.be/tsv/tsvf.ht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YnCQoOiMxY2L1AmrZ5+QAfuHvA==">CgMxLjA4AHIhMUFTYm5MeGg5WktlNkd6MTdvN0xxdV9ucVpldXNnOHlU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2024-01-18T10:47:00Z</dcterms:created>
  <dc:creator>brigitte Nahon</dc:creator>
</cp:coreProperties>
</file>